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E21DB1">
      <w:pPr>
        <w:spacing w:before="82" w:line="234" w:lineRule="auto"/>
        <w:ind w:left="1210"/>
        <w:outlineLvl w:val="0"/>
        <w:rPr>
          <w:rFonts w:ascii="方正黑体_GBK" w:hAnsi="方正黑体_GBK" w:eastAsia="方正黑体_GBK" w:cs="方正黑体_GBK"/>
          <w:sz w:val="35"/>
          <w:szCs w:val="35"/>
        </w:rPr>
      </w:pPr>
      <w:r>
        <w:rPr>
          <w:rFonts w:ascii="方正黑体_GBK" w:hAnsi="方正黑体_GBK" w:eastAsia="方正黑体_GBK" w:cs="方正黑体_GBK"/>
          <w:spacing w:val="12"/>
          <w:sz w:val="35"/>
          <w:szCs w:val="35"/>
        </w:rPr>
        <w:t>《赣南医科大学学报》著作权转让协议</w:t>
      </w:r>
    </w:p>
    <w:p w14:paraId="7548F2A9">
      <w:pPr>
        <w:spacing w:line="292" w:lineRule="auto"/>
        <w:rPr>
          <w:rFonts w:ascii="Arial"/>
          <w:sz w:val="21"/>
        </w:rPr>
      </w:pPr>
    </w:p>
    <w:p w14:paraId="1DB1E634">
      <w:pPr>
        <w:spacing w:line="293" w:lineRule="auto"/>
        <w:rPr>
          <w:rFonts w:ascii="Arial"/>
          <w:sz w:val="21"/>
        </w:rPr>
      </w:pPr>
    </w:p>
    <w:p w14:paraId="52376CA0">
      <w:pPr>
        <w:pStyle w:val="2"/>
        <w:autoSpaceDE/>
        <w:autoSpaceDN/>
        <w:spacing w:before="78" w:line="240" w:lineRule="auto"/>
        <w:ind w:left="31"/>
        <w:rPr>
          <w:spacing w:val="-7"/>
        </w:rPr>
      </w:pPr>
      <w:r>
        <w:rPr>
          <w:b/>
          <w:bCs/>
          <w:spacing w:val="-7"/>
        </w:rPr>
        <w:t>论文题名</w:t>
      </w:r>
      <w:r>
        <w:rPr>
          <w:spacing w:val="-7"/>
        </w:rPr>
        <w:t>：</w:t>
      </w:r>
    </w:p>
    <w:p w14:paraId="1EE4F8C4">
      <w:pPr>
        <w:pStyle w:val="2"/>
        <w:autoSpaceDE/>
        <w:autoSpaceDN/>
        <w:spacing w:before="78" w:line="240" w:lineRule="auto"/>
        <w:ind w:left="31"/>
        <w:rPr>
          <w:rFonts w:hint="default" w:eastAsia="宋体"/>
          <w:spacing w:val="-7"/>
          <w:lang w:val="en-US" w:eastAsia="zh-CN"/>
        </w:rPr>
      </w:pPr>
    </w:p>
    <w:p w14:paraId="6208E844">
      <w:pPr>
        <w:pStyle w:val="2"/>
        <w:autoSpaceDE/>
        <w:autoSpaceDN/>
        <w:spacing w:before="50" w:line="240" w:lineRule="auto"/>
        <w:ind w:left="29"/>
        <w:rPr>
          <w:spacing w:val="-5"/>
        </w:rPr>
      </w:pPr>
      <w:r>
        <w:rPr>
          <w:b/>
          <w:bCs/>
          <w:spacing w:val="-5"/>
        </w:rPr>
        <w:t>全体作者(按署名顺序)</w:t>
      </w:r>
      <w:r>
        <w:rPr>
          <w:spacing w:val="-5"/>
        </w:rPr>
        <w:t>：</w:t>
      </w:r>
    </w:p>
    <w:p w14:paraId="7207E652">
      <w:pPr>
        <w:pStyle w:val="2"/>
        <w:autoSpaceDE/>
        <w:autoSpaceDN/>
        <w:spacing w:before="50" w:line="240" w:lineRule="auto"/>
        <w:ind w:left="29"/>
        <w:rPr>
          <w:spacing w:val="-5"/>
        </w:rPr>
      </w:pPr>
    </w:p>
    <w:p w14:paraId="6FA3C524">
      <w:pPr>
        <w:pStyle w:val="2"/>
        <w:autoSpaceDE/>
        <w:autoSpaceDN/>
        <w:spacing w:before="60" w:line="240" w:lineRule="auto"/>
        <w:ind w:left="35"/>
        <w:rPr>
          <w:spacing w:val="-10"/>
        </w:rPr>
      </w:pPr>
      <w:r>
        <w:rPr>
          <w:b/>
          <w:bCs/>
          <w:spacing w:val="-10"/>
        </w:rPr>
        <w:t>发表期刊</w:t>
      </w:r>
      <w:r>
        <w:rPr>
          <w:spacing w:val="-10"/>
        </w:rPr>
        <w:t>：《赣南医科大学学报》</w:t>
      </w:r>
    </w:p>
    <w:p w14:paraId="4BFCE4C0">
      <w:pPr>
        <w:pStyle w:val="2"/>
        <w:autoSpaceDE/>
        <w:autoSpaceDN/>
        <w:spacing w:before="60" w:line="240" w:lineRule="auto"/>
        <w:ind w:left="35"/>
        <w:rPr>
          <w:spacing w:val="-10"/>
        </w:rPr>
      </w:pPr>
    </w:p>
    <w:p w14:paraId="4E5769D5">
      <w:pPr>
        <w:pStyle w:val="2"/>
        <w:autoSpaceDE/>
        <w:autoSpaceDN/>
        <w:spacing w:before="76" w:line="240" w:lineRule="auto"/>
        <w:ind w:left="26" w:firstLine="485"/>
      </w:pPr>
      <w:r>
        <w:rPr>
          <w:spacing w:val="-2"/>
        </w:rPr>
        <w:t>鉴于该论文在《赣南医科大学学报》发表，为使该论文更好地传播，在下方</w:t>
      </w:r>
      <w:r>
        <w:rPr>
          <w:spacing w:val="14"/>
        </w:rPr>
        <w:t xml:space="preserve"> </w:t>
      </w:r>
      <w:r>
        <w:rPr>
          <w:spacing w:val="-1"/>
        </w:rPr>
        <w:t>签字的作者代表全体作者，自愿将论文整体以及</w:t>
      </w:r>
      <w:r>
        <w:rPr>
          <w:spacing w:val="-2"/>
        </w:rPr>
        <w:t>附属论文的图、表、摘要或其他</w:t>
      </w:r>
      <w:r>
        <w:t xml:space="preserve"> </w:t>
      </w:r>
      <w:r>
        <w:rPr>
          <w:spacing w:val="-1"/>
        </w:rPr>
        <w:t>可从论文中提取部分的全部可转让的著作权——包括</w:t>
      </w:r>
      <w:r>
        <w:rPr>
          <w:spacing w:val="-2"/>
        </w:rPr>
        <w:t>但不限于复制权、发行权、</w:t>
      </w:r>
      <w:r>
        <w:t xml:space="preserve"> </w:t>
      </w:r>
      <w:r>
        <w:rPr>
          <w:spacing w:val="-1"/>
        </w:rPr>
        <w:t>信息网络传播权、翻译权、改编权、汇编权、广</w:t>
      </w:r>
      <w:r>
        <w:rPr>
          <w:spacing w:val="-2"/>
        </w:rPr>
        <w:t>播权、展览权独家转让给《赣南</w:t>
      </w:r>
      <w:r>
        <w:t xml:space="preserve"> </w:t>
      </w:r>
      <w:r>
        <w:rPr>
          <w:spacing w:val="-2"/>
        </w:rPr>
        <w:t>医科大学学报》主办单位——赣南医科大学。相关权利由《赣南医科大学学报》</w:t>
      </w:r>
      <w:r>
        <w:rPr>
          <w:spacing w:val="11"/>
        </w:rPr>
        <w:t xml:space="preserve"> </w:t>
      </w:r>
      <w:r>
        <w:rPr>
          <w:spacing w:val="-2"/>
        </w:rPr>
        <w:t>编辑部代表赣南医科大学行使，主要包括但不限于以下使用方式：</w:t>
      </w:r>
    </w:p>
    <w:p w14:paraId="63B73480">
      <w:pPr>
        <w:pStyle w:val="2"/>
        <w:autoSpaceDE/>
        <w:autoSpaceDN/>
        <w:spacing w:before="26" w:line="240" w:lineRule="auto"/>
        <w:ind w:left="30" w:right="76" w:firstLine="513"/>
      </w:pPr>
      <w:r>
        <w:rPr>
          <w:b/>
          <w:bCs/>
          <w:spacing w:val="-5"/>
        </w:rPr>
        <w:t>1</w:t>
      </w:r>
      <w:r>
        <w:rPr>
          <w:spacing w:val="-5"/>
        </w:rPr>
        <w:t>、以各种已知或将来出现的形态、格式和媒介</w:t>
      </w:r>
      <w:r>
        <w:rPr>
          <w:b/>
          <w:bCs/>
          <w:spacing w:val="-5"/>
        </w:rPr>
        <w:t>(</w:t>
      </w:r>
      <w:r>
        <w:rPr>
          <w:spacing w:val="-5"/>
        </w:rPr>
        <w:t>包括但不限于纸质、数字化</w:t>
      </w:r>
      <w:r>
        <w:rPr>
          <w:spacing w:val="4"/>
        </w:rPr>
        <w:t xml:space="preserve"> </w:t>
      </w:r>
      <w:r>
        <w:rPr>
          <w:spacing w:val="-2"/>
        </w:rPr>
        <w:t>和电子形式</w:t>
      </w:r>
      <w:r>
        <w:rPr>
          <w:b/>
          <w:bCs/>
          <w:spacing w:val="-2"/>
        </w:rPr>
        <w:t>)</w:t>
      </w:r>
      <w:r>
        <w:rPr>
          <w:spacing w:val="-2"/>
        </w:rPr>
        <w:t>出版、复制、发行、展览、传输、汇编、存储该论文。</w:t>
      </w:r>
    </w:p>
    <w:p w14:paraId="369669C1">
      <w:pPr>
        <w:pStyle w:val="2"/>
        <w:autoSpaceDE/>
        <w:autoSpaceDN/>
        <w:spacing w:before="89" w:line="240" w:lineRule="auto"/>
        <w:ind w:left="26" w:right="67" w:firstLine="485"/>
      </w:pPr>
      <w:r>
        <w:rPr>
          <w:b/>
          <w:bCs/>
          <w:spacing w:val="-1"/>
        </w:rPr>
        <w:t>2</w:t>
      </w:r>
      <w:r>
        <w:rPr>
          <w:spacing w:val="-1"/>
        </w:rPr>
        <w:t>、翻译、改编该论文，利用该论文制作摘要或从中提取部分片段，以及利</w:t>
      </w:r>
      <w:r>
        <w:rPr>
          <w:spacing w:val="7"/>
        </w:rPr>
        <w:t xml:space="preserve"> </w:t>
      </w:r>
      <w:r>
        <w:rPr>
          <w:spacing w:val="-3"/>
        </w:rPr>
        <w:t>用该论文制作其他形式的衍生作品，产生的摘要、外文版等</w:t>
      </w:r>
      <w:r>
        <w:rPr>
          <w:spacing w:val="-4"/>
        </w:rPr>
        <w:t>衍生作品同样适用上</w:t>
      </w:r>
      <w:r>
        <w:t xml:space="preserve"> </w:t>
      </w:r>
      <w:r>
        <w:rPr>
          <w:spacing w:val="-9"/>
        </w:rPr>
        <w:t>述</w:t>
      </w:r>
      <w:r>
        <w:rPr>
          <w:b/>
          <w:bCs/>
          <w:spacing w:val="-9"/>
        </w:rPr>
        <w:t>1</w:t>
      </w:r>
      <w:r>
        <w:rPr>
          <w:spacing w:val="-9"/>
        </w:rPr>
        <w:t>款。</w:t>
      </w:r>
    </w:p>
    <w:p w14:paraId="67A22AA2">
      <w:pPr>
        <w:pStyle w:val="2"/>
        <w:autoSpaceDE/>
        <w:autoSpaceDN/>
        <w:spacing w:before="73" w:line="240" w:lineRule="auto"/>
        <w:ind w:left="518"/>
      </w:pPr>
      <w:r>
        <w:rPr>
          <w:b/>
          <w:bCs/>
          <w:spacing w:val="-3"/>
        </w:rPr>
        <w:t>3</w:t>
      </w:r>
      <w:r>
        <w:rPr>
          <w:spacing w:val="-3"/>
        </w:rPr>
        <w:t>、将上述权利的全部或部分转让或许可给第三方。</w:t>
      </w:r>
    </w:p>
    <w:p w14:paraId="483E1CAF">
      <w:pPr>
        <w:pStyle w:val="2"/>
        <w:autoSpaceDE/>
        <w:autoSpaceDN/>
        <w:spacing w:before="79" w:line="240" w:lineRule="auto"/>
        <w:ind w:left="39" w:right="57" w:firstLine="471"/>
      </w:pPr>
      <w:r>
        <w:rPr>
          <w:spacing w:val="-3"/>
        </w:rPr>
        <w:t>上述权利的转让期限以论文著作权的法定保护期为限</w:t>
      </w:r>
      <w:r>
        <w:rPr>
          <w:spacing w:val="-4"/>
        </w:rPr>
        <w:t>，许可地域范围为全世</w:t>
      </w:r>
      <w:r>
        <w:t xml:space="preserve"> </w:t>
      </w:r>
      <w:r>
        <w:rPr>
          <w:spacing w:val="-8"/>
        </w:rPr>
        <w:t>界。</w:t>
      </w:r>
    </w:p>
    <w:p w14:paraId="38A0C6C5">
      <w:pPr>
        <w:pStyle w:val="2"/>
        <w:autoSpaceDE/>
        <w:autoSpaceDN/>
        <w:spacing w:before="22" w:line="240" w:lineRule="auto"/>
        <w:ind w:left="29" w:right="7" w:firstLine="486"/>
        <w:jc w:val="both"/>
      </w:pPr>
      <w:r>
        <w:rPr>
          <w:rFonts w:hint="eastAsia"/>
          <w:spacing w:val="-3"/>
          <w:lang w:eastAsia="zh-CN"/>
        </w:rPr>
        <w:t>《</w:t>
      </w:r>
      <w:r>
        <w:rPr>
          <w:rFonts w:hint="eastAsia"/>
          <w:spacing w:val="-3"/>
          <w:lang w:val="en-US" w:eastAsia="zh-CN"/>
        </w:rPr>
        <w:t>赣南医科大学学报》使用知识共享许可协议（Creative Commons),允许第三方按照署名（BY)-非商业使用（NC)-禁示演绎（ND)（简称CC BY-NC-ND 4.0）的方式，在任何媒介以任何形式复制、传播本刊发表的论文，不得将该作品用于商业目的，不得对原作品进行修改，使用本刊发表论文需注明原作者姓</w:t>
      </w:r>
      <w:bookmarkStart w:id="0" w:name="_GoBack"/>
      <w:bookmarkEnd w:id="0"/>
      <w:r>
        <w:rPr>
          <w:rFonts w:hint="eastAsia"/>
          <w:spacing w:val="-3"/>
          <w:lang w:val="en-US" w:eastAsia="zh-CN"/>
        </w:rPr>
        <w:t>名和出处（注明《赣南医科大学学报》年、卷、期）。</w:t>
      </w:r>
      <w:r>
        <w:rPr>
          <w:spacing w:val="-4"/>
        </w:rPr>
        <w:t>作者承诺本文为原</w:t>
      </w:r>
      <w:r>
        <w:rPr>
          <w:spacing w:val="-2"/>
        </w:rPr>
        <w:t>创和第一次发表使用，无知识产权纠纷，无一稿多投，不涉及任何形式之保密义务。本文作者承诺承担一切违反义务和侵权责任。</w:t>
      </w:r>
    </w:p>
    <w:p w14:paraId="4D85839F">
      <w:pPr>
        <w:pStyle w:val="2"/>
        <w:autoSpaceDE/>
        <w:autoSpaceDN/>
        <w:spacing w:before="7" w:line="240" w:lineRule="auto"/>
        <w:ind w:left="510"/>
      </w:pPr>
      <w:r>
        <w:rPr>
          <w:spacing w:val="-2"/>
        </w:rPr>
        <w:t>本协议于《赣南医科大学学报》录用论文之日起生效。</w:t>
      </w:r>
    </w:p>
    <w:p w14:paraId="40453A63">
      <w:pPr>
        <w:pStyle w:val="2"/>
        <w:autoSpaceDE/>
        <w:autoSpaceDN/>
        <w:spacing w:before="63" w:line="240" w:lineRule="auto"/>
        <w:ind w:left="505"/>
      </w:pPr>
    </w:p>
    <w:p w14:paraId="33FDC04B">
      <w:pPr>
        <w:pStyle w:val="2"/>
        <w:autoSpaceDE/>
        <w:autoSpaceDN/>
        <w:spacing w:before="81" w:line="240" w:lineRule="auto"/>
        <w:ind w:left="30" w:right="69" w:firstLine="516"/>
      </w:pPr>
      <w:r>
        <w:rPr>
          <w:spacing w:val="-5"/>
        </w:rPr>
        <w:t>因本协议的执行发生的争议，全体作者与编辑部均同意以编辑部住所地人民</w:t>
      </w:r>
      <w:r>
        <w:rPr>
          <w:spacing w:val="8"/>
        </w:rPr>
        <w:t xml:space="preserve"> </w:t>
      </w:r>
      <w:r>
        <w:rPr>
          <w:spacing w:val="-4"/>
        </w:rPr>
        <w:t>法院为第一审管辖法院。</w:t>
      </w:r>
    </w:p>
    <w:p w14:paraId="05D89E3C">
      <w:pPr>
        <w:pStyle w:val="2"/>
        <w:autoSpaceDE/>
        <w:autoSpaceDN/>
        <w:spacing w:before="14" w:line="240" w:lineRule="auto"/>
        <w:ind w:left="510"/>
        <w:rPr>
          <w:spacing w:val="-2"/>
        </w:rPr>
      </w:pPr>
      <w:r>
        <w:rPr>
          <w:spacing w:val="-2"/>
        </w:rPr>
        <w:t>本协议请书写签名并扫描成电子文件通过系统发回编辑部。</w:t>
      </w:r>
    </w:p>
    <w:p w14:paraId="76E45EDD">
      <w:pPr>
        <w:pStyle w:val="2"/>
        <w:autoSpaceDE/>
        <w:autoSpaceDN/>
        <w:spacing w:before="14" w:line="240" w:lineRule="auto"/>
        <w:ind w:left="510"/>
        <w:rPr>
          <w:spacing w:val="-2"/>
        </w:rPr>
      </w:pPr>
    </w:p>
    <w:p w14:paraId="3E722C80">
      <w:pPr>
        <w:pStyle w:val="2"/>
        <w:autoSpaceDE/>
        <w:autoSpaceDN/>
        <w:spacing w:before="57" w:line="240" w:lineRule="auto"/>
        <w:ind w:left="509"/>
        <w:rPr>
          <w:b/>
          <w:bCs/>
          <w:spacing w:val="-6"/>
        </w:rPr>
      </w:pPr>
      <w:r>
        <w:rPr>
          <w:b/>
          <w:bCs/>
          <w:spacing w:val="-6"/>
        </w:rPr>
        <w:t>全体作者签名(按作者排序)：</w:t>
      </w:r>
    </w:p>
    <w:p w14:paraId="06177F71">
      <w:pPr>
        <w:pStyle w:val="2"/>
        <w:autoSpaceDE/>
        <w:autoSpaceDN/>
        <w:spacing w:before="57" w:line="240" w:lineRule="auto"/>
        <w:ind w:left="509"/>
        <w:rPr>
          <w:rFonts w:hint="eastAsia"/>
          <w:b/>
          <w:bCs/>
          <w:spacing w:val="-6"/>
          <w:u w:val="single"/>
          <w:lang w:val="en-US" w:eastAsia="zh-CN"/>
        </w:rPr>
      </w:pPr>
      <w:r>
        <w:rPr>
          <w:rFonts w:hint="eastAsia"/>
          <w:b/>
          <w:bCs/>
          <w:spacing w:val="-6"/>
          <w:u w:val="single"/>
          <w:lang w:val="en-US" w:eastAsia="zh-CN"/>
        </w:rPr>
        <w:t xml:space="preserve">1.                 2.                3.                4.              </w:t>
      </w:r>
    </w:p>
    <w:p w14:paraId="2F6DC526">
      <w:pPr>
        <w:pStyle w:val="2"/>
        <w:autoSpaceDE/>
        <w:autoSpaceDN/>
        <w:spacing w:before="57" w:line="240" w:lineRule="auto"/>
        <w:ind w:left="509"/>
        <w:rPr>
          <w:rFonts w:hint="eastAsia"/>
          <w:b/>
          <w:bCs/>
          <w:spacing w:val="-6"/>
          <w:u w:val="single"/>
          <w:lang w:val="en-US" w:eastAsia="zh-CN"/>
        </w:rPr>
      </w:pPr>
      <w:r>
        <w:rPr>
          <w:rFonts w:hint="eastAsia"/>
          <w:b/>
          <w:bCs/>
          <w:spacing w:val="-6"/>
          <w:u w:val="single"/>
          <w:lang w:val="en-US" w:eastAsia="zh-CN"/>
        </w:rPr>
        <w:t xml:space="preserve">5.                 6.                7.                8.              </w:t>
      </w:r>
    </w:p>
    <w:p w14:paraId="3C3A20F0">
      <w:pPr>
        <w:pStyle w:val="2"/>
        <w:autoSpaceDE/>
        <w:autoSpaceDN/>
        <w:spacing w:before="57" w:line="240" w:lineRule="auto"/>
        <w:ind w:left="509"/>
        <w:rPr>
          <w:rFonts w:hint="eastAsia"/>
          <w:b/>
          <w:bCs/>
          <w:spacing w:val="-6"/>
          <w:u w:val="single"/>
          <w:lang w:val="en-US" w:eastAsia="zh-CN"/>
        </w:rPr>
      </w:pPr>
      <w:r>
        <w:rPr>
          <w:rFonts w:hint="eastAsia"/>
          <w:b/>
          <w:bCs/>
          <w:spacing w:val="-6"/>
          <w:u w:val="single"/>
          <w:lang w:val="en-US" w:eastAsia="zh-CN"/>
        </w:rPr>
        <w:t xml:space="preserve">9.                 10.               11.               12.            </w:t>
      </w:r>
    </w:p>
    <w:p w14:paraId="439D92B8">
      <w:pPr>
        <w:pStyle w:val="2"/>
        <w:autoSpaceDE/>
        <w:autoSpaceDN/>
        <w:spacing w:before="57" w:line="240" w:lineRule="auto"/>
        <w:ind w:left="509"/>
        <w:rPr>
          <w:rFonts w:hint="default" w:eastAsia="宋体"/>
          <w:b/>
          <w:bCs/>
          <w:spacing w:val="-6"/>
          <w:u w:val="single"/>
          <w:lang w:val="en-US" w:eastAsia="zh-CN"/>
        </w:rPr>
      </w:pPr>
      <w:r>
        <w:rPr>
          <w:rFonts w:hint="eastAsia"/>
          <w:b/>
          <w:bCs/>
          <w:spacing w:val="-6"/>
          <w:u w:val="single"/>
          <w:lang w:val="en-US" w:eastAsia="zh-CN"/>
        </w:rPr>
        <w:t xml:space="preserve">13.                14.               15.               16.            </w:t>
      </w:r>
    </w:p>
    <w:p w14:paraId="6CE3B54A">
      <w:pPr>
        <w:autoSpaceDE/>
        <w:autoSpaceDN/>
        <w:spacing w:line="240" w:lineRule="auto"/>
        <w:rPr>
          <w:rFonts w:ascii="Arial"/>
          <w:sz w:val="21"/>
        </w:rPr>
      </w:pPr>
    </w:p>
    <w:p w14:paraId="37914926">
      <w:pPr>
        <w:spacing w:line="321" w:lineRule="auto"/>
        <w:rPr>
          <w:rFonts w:ascii="Arial"/>
          <w:sz w:val="21"/>
        </w:rPr>
      </w:pPr>
    </w:p>
    <w:p w14:paraId="3E80FDB5">
      <w:pPr>
        <w:pStyle w:val="2"/>
        <w:spacing w:before="79" w:line="219" w:lineRule="auto"/>
        <w:ind w:left="6174"/>
      </w:pPr>
      <w:r>
        <w:rPr>
          <w:b/>
          <w:bCs/>
          <w:spacing w:val="-12"/>
        </w:rPr>
        <w:t>年</w:t>
      </w:r>
      <w:r>
        <w:rPr>
          <w:spacing w:val="4"/>
        </w:rPr>
        <w:t xml:space="preserve">     </w:t>
      </w:r>
      <w:r>
        <w:rPr>
          <w:b/>
          <w:bCs/>
          <w:spacing w:val="-12"/>
        </w:rPr>
        <w:t>月</w:t>
      </w:r>
      <w:r>
        <w:rPr>
          <w:spacing w:val="19"/>
        </w:rPr>
        <w:t xml:space="preserve">     </w:t>
      </w:r>
      <w:r>
        <w:rPr>
          <w:b/>
          <w:bCs/>
          <w:spacing w:val="-12"/>
        </w:rPr>
        <w:t>日</w:t>
      </w:r>
    </w:p>
    <w:sectPr>
      <w:pgSz w:w="11900" w:h="16840"/>
      <w:pgMar w:top="1431" w:right="1733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trackRevisions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EE559BD"/>
    <w:rsid w:val="680574B8"/>
    <w:rsid w:val="79B624F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888</Words>
  <Characters>888</Characters>
  <TotalTime>10</TotalTime>
  <ScaleCrop>false</ScaleCrop>
  <LinksUpToDate>false</LinksUpToDate>
  <CharactersWithSpaces>915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2025-11-03T09:07:00Z</dcterms:created>
  <dc:creator>Administrator</dc:creator>
  <cp:lastModifiedBy>敖慧斌</cp:lastModifiedBy>
  <dcterms:modified xsi:type="dcterms:W3CDTF">2025-11-04T01:01:52Z</dcterms:modified>
  <dc:title>《赣南医学院学报》著作权转让协议.doc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2025-11-03T16:36:30Z</vt:filetime>
  </property>
  <property fmtid="{D5CDD505-2E9C-101B-9397-08002B2CF9AE}" pid="4" name="KSOProductBuildVer">
    <vt:lpwstr>2052-12.1.0.21541</vt:lpwstr>
  </property>
  <property fmtid="{D5CDD505-2E9C-101B-9397-08002B2CF9AE}" pid="5" name="ICV">
    <vt:lpwstr>F9B5028BD8BD416A84C1CEF173F5E146_13</vt:lpwstr>
  </property>
  <property fmtid="{D5CDD505-2E9C-101B-9397-08002B2CF9AE}" pid="6" name="KSOTemplateDocerSaveRecord">
    <vt:lpwstr>eyJoZGlkIjoiZWE5NjQzZmRiNGZlYjJjMDIxNTZjOWU1ZTAyOWI4NWYiLCJ1c2VySWQiOiIxNTg2MTk5ODg1In0=</vt:lpwstr>
  </property>
</Properties>
</file>